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spacing w:line="360" w:lineRule="auto"/>
        <w:jc w:val="center"/>
        <w:rPr>
          <w:rFonts w:hint="eastAsia" w:ascii="宋体" w:hAnsi="宋体" w:eastAsia="宋体" w:cs="宋体"/>
          <w:b/>
          <w:bCs/>
          <w:sz w:val="24"/>
          <w:szCs w:val="24"/>
        </w:rPr>
      </w:pPr>
      <w:r>
        <w:rPr>
          <w:rFonts w:hint="eastAsia" w:ascii="宋体" w:hAnsi="宋体" w:eastAsia="宋体" w:cs="宋体"/>
          <w:b/>
          <w:bCs/>
          <w:sz w:val="28"/>
          <w:szCs w:val="28"/>
        </w:rPr>
        <w:t>关于组织我校学生参加2024年全国本科院校税收风险管控案例大赛的通知</w:t>
      </w:r>
    </w:p>
    <w:p>
      <w:pPr>
        <w:keepNext w:val="0"/>
        <w:keepLines w:val="0"/>
        <w:pageBreakBefore w:val="0"/>
        <w:wordWrap/>
        <w:overflowPunct/>
        <w:topLinePunct w:val="0"/>
        <w:bidi w:val="0"/>
        <w:spacing w:line="360" w:lineRule="auto"/>
        <w:rPr>
          <w:rFonts w:hint="eastAsia" w:ascii="宋体" w:hAnsi="宋体" w:eastAsia="宋体" w:cs="宋体"/>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各学院：</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b/>
          <w:bCs/>
          <w:sz w:val="24"/>
          <w:szCs w:val="24"/>
        </w:rPr>
      </w:pPr>
      <w:r>
        <w:rPr>
          <w:rFonts w:hint="eastAsia" w:ascii="宋体" w:hAnsi="宋体" w:eastAsia="宋体" w:cs="宋体"/>
          <w:b w:val="0"/>
          <w:bCs w:val="0"/>
          <w:sz w:val="24"/>
          <w:szCs w:val="24"/>
        </w:rPr>
        <w:t>根据全国本科院校税收风险管控案例大赛工作安排，现将2024年全国本科院校税收风险管控案例大赛有关事项通知如下：</w:t>
      </w:r>
    </w:p>
    <w:p>
      <w:pPr>
        <w:keepNext w:val="0"/>
        <w:keepLines w:val="0"/>
        <w:pageBreakBefore w:val="0"/>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b/>
          <w:bCs/>
          <w:sz w:val="24"/>
          <w:szCs w:val="24"/>
        </w:rPr>
        <w:t>一、赛事简介</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全国本科院校税收风险管控案例大赛</w:t>
      </w:r>
      <w:r>
        <w:rPr>
          <w:rFonts w:hint="eastAsia" w:ascii="宋体" w:hAnsi="宋体" w:eastAsia="宋体" w:cs="宋体"/>
          <w:sz w:val="24"/>
          <w:szCs w:val="24"/>
          <w:lang w:eastAsia="zh-CN"/>
        </w:rPr>
        <w:t>”</w:t>
      </w:r>
      <w:r>
        <w:rPr>
          <w:rFonts w:hint="eastAsia" w:ascii="宋体" w:hAnsi="宋体" w:eastAsia="宋体" w:cs="宋体"/>
          <w:sz w:val="24"/>
          <w:szCs w:val="24"/>
        </w:rPr>
        <w:t>已正式列入中国高等教育学会发布的《全国普通高校学科竞赛排行榜》榜单，是目前全国本科院校参与人数最多、范围最广、规模最大、规格最高、最具影响力的财税专业领域赛事之一。大赛旨在应对大数据时代税收风险管理的挑战，加强学界与实务界的交流，推动税收风险管理研究及体系完善，通过模拟场景促进学生知识学习、能力提升与团队协作，实现专业教育与行业发展的紧密对接。</w:t>
      </w:r>
    </w:p>
    <w:p>
      <w:pPr>
        <w:keepNext w:val="0"/>
        <w:keepLines w:val="0"/>
        <w:pageBreakBefore w:val="0"/>
        <w:wordWrap/>
        <w:overflowPunct/>
        <w:topLinePunct w:val="0"/>
        <w:bidi w:val="0"/>
        <w:spacing w:line="360" w:lineRule="auto"/>
        <w:rPr>
          <w:rFonts w:hint="eastAsia" w:ascii="宋体" w:hAnsi="宋体" w:eastAsia="宋体" w:cs="宋体"/>
          <w:b w:val="0"/>
          <w:bCs w:val="0"/>
          <w:sz w:val="24"/>
          <w:szCs w:val="24"/>
          <w:lang w:val="en-US" w:eastAsia="en-US"/>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val="en-US" w:eastAsia="en-US"/>
        </w:rPr>
        <w:t>、参赛对象</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en-US"/>
        </w:rPr>
        <w:t>大赛为团体赛，参赛选手须为全日制本科院校在校生（本科生及研究生均可报名）</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en-US"/>
        </w:rPr>
        <w:t>校内各参赛选手自行组队</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en-US"/>
        </w:rPr>
        <w:t>每支参赛队伍由3名选手组成</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en-US"/>
        </w:rPr>
        <w:t>参赛队伍可配1-3名专业指导老师</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en-US"/>
        </w:rPr>
        <w:t>分区赛</w:t>
      </w:r>
      <w:r>
        <w:rPr>
          <w:rFonts w:hint="eastAsia" w:ascii="宋体" w:hAnsi="宋体" w:eastAsia="宋体" w:cs="宋体"/>
          <w:b w:val="0"/>
          <w:bCs w:val="0"/>
          <w:sz w:val="24"/>
          <w:szCs w:val="24"/>
          <w:lang w:val="en-US" w:eastAsia="zh-CN"/>
        </w:rPr>
        <w:t>及总决赛</w:t>
      </w:r>
      <w:r>
        <w:rPr>
          <w:rFonts w:hint="eastAsia" w:ascii="宋体" w:hAnsi="宋体" w:eastAsia="宋体" w:cs="宋体"/>
          <w:b w:val="0"/>
          <w:bCs w:val="0"/>
          <w:sz w:val="24"/>
          <w:szCs w:val="24"/>
          <w:lang w:val="en-US" w:eastAsia="en-US"/>
        </w:rPr>
        <w:t>以校为单位组队参赛，不得跨校组队</w:t>
      </w:r>
      <w:r>
        <w:rPr>
          <w:rFonts w:hint="eastAsia" w:ascii="宋体" w:hAnsi="宋体" w:eastAsia="宋体" w:cs="宋体"/>
          <w:b w:val="0"/>
          <w:bCs w:val="0"/>
          <w:sz w:val="24"/>
          <w:szCs w:val="24"/>
          <w:lang w:val="en-US" w:eastAsia="zh-CN"/>
        </w:rPr>
        <w:t>。</w:t>
      </w:r>
    </w:p>
    <w:p>
      <w:pPr>
        <w:keepNext w:val="0"/>
        <w:keepLines w:val="0"/>
        <w:pageBreakBefore w:val="0"/>
        <w:wordWrap/>
        <w:overflowPunct/>
        <w:topLinePunct w:val="0"/>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lang w:val="en-US" w:eastAsia="en-US"/>
        </w:rPr>
        <w:t>、</w:t>
      </w:r>
      <w:r>
        <w:rPr>
          <w:rFonts w:hint="eastAsia" w:ascii="宋体" w:hAnsi="宋体" w:eastAsia="宋体" w:cs="宋体"/>
          <w:b/>
          <w:bCs/>
          <w:sz w:val="24"/>
          <w:szCs w:val="24"/>
          <w:lang w:val="en-US" w:eastAsia="zh-CN"/>
        </w:rPr>
        <w:t>大赛安排</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（一）赛级设置</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大赛分为校内赛、分区赛和总决赛三个层级。校内赛结束后推荐参加分区赛的参赛团队，参赛队注册、报名、参赛队所在单位审核及分区赛参赛作品提交需通过大赛官方网站进行，网址为：http://ssfkds.moocollege.com，在大赛官方微信公众号平台提供报名入口，大赛报名费150元／每支队伍。</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（二）赛事时间</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8"/>
        <w:gridCol w:w="4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58" w:type="dxa"/>
          </w:tcPr>
          <w:p>
            <w:pPr>
              <w:keepNext w:val="0"/>
              <w:keepLines w:val="0"/>
              <w:pageBreakBefore w:val="0"/>
              <w:widowControl w:val="0"/>
              <w:wordWrap/>
              <w:overflowPunct/>
              <w:topLinePunct w:val="0"/>
              <w:bidi w:val="0"/>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内容</w:t>
            </w:r>
          </w:p>
        </w:tc>
        <w:tc>
          <w:tcPr>
            <w:tcW w:w="4258" w:type="dxa"/>
          </w:tcPr>
          <w:p>
            <w:pPr>
              <w:keepNext w:val="0"/>
              <w:keepLines w:val="0"/>
              <w:pageBreakBefore w:val="0"/>
              <w:widowControl w:val="0"/>
              <w:wordWrap/>
              <w:overflowPunct/>
              <w:topLinePunct w:val="0"/>
              <w:bidi w:val="0"/>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58" w:type="dxa"/>
          </w:tcPr>
          <w:p>
            <w:pPr>
              <w:keepNext w:val="0"/>
              <w:keepLines w:val="0"/>
              <w:pageBreakBefore w:val="0"/>
              <w:widowControl w:val="0"/>
              <w:wordWrap/>
              <w:overflowPunct/>
              <w:topLinePunct w:val="0"/>
              <w:bidi w:val="0"/>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河海大学校内赛</w:t>
            </w:r>
          </w:p>
        </w:tc>
        <w:tc>
          <w:tcPr>
            <w:tcW w:w="4258" w:type="dxa"/>
          </w:tcPr>
          <w:p>
            <w:pPr>
              <w:keepNext w:val="0"/>
              <w:keepLines w:val="0"/>
              <w:pageBreakBefore w:val="0"/>
              <w:widowControl w:val="0"/>
              <w:wordWrap/>
              <w:overflowPunct/>
              <w:topLinePunct w:val="0"/>
              <w:bidi w:val="0"/>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2024年9月上旬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58" w:type="dxa"/>
          </w:tcPr>
          <w:p>
            <w:pPr>
              <w:keepNext w:val="0"/>
              <w:keepLines w:val="0"/>
              <w:pageBreakBefore w:val="0"/>
              <w:widowControl w:val="0"/>
              <w:wordWrap/>
              <w:overflowPunct/>
              <w:topLinePunct w:val="0"/>
              <w:bidi w:val="0"/>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网上参赛报名</w:t>
            </w:r>
          </w:p>
        </w:tc>
        <w:tc>
          <w:tcPr>
            <w:tcW w:w="4258" w:type="dxa"/>
          </w:tcPr>
          <w:p>
            <w:pPr>
              <w:keepNext w:val="0"/>
              <w:keepLines w:val="0"/>
              <w:pageBreakBefore w:val="0"/>
              <w:widowControl w:val="0"/>
              <w:wordWrap/>
              <w:overflowPunct/>
              <w:topLinePunct w:val="0"/>
              <w:bidi w:val="0"/>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2024年6月20日-9月20日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58" w:type="dxa"/>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分区赛参赛作品提交</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（案例分析报告）</w:t>
            </w:r>
          </w:p>
        </w:tc>
        <w:tc>
          <w:tcPr>
            <w:tcW w:w="4258" w:type="dxa"/>
          </w:tcPr>
          <w:p>
            <w:pPr>
              <w:keepNext w:val="0"/>
              <w:keepLines w:val="0"/>
              <w:pageBreakBefore w:val="0"/>
              <w:widowControl w:val="0"/>
              <w:wordWrap/>
              <w:overflowPunct/>
              <w:topLinePunct w:val="0"/>
              <w:bidi w:val="0"/>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2024年9月上旬-10月14日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5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总决赛参赛作品提交</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000000"/>
                <w:kern w:val="0"/>
                <w:sz w:val="24"/>
                <w:szCs w:val="24"/>
                <w:vertAlign w:val="baseline"/>
                <w:lang w:val="en-US" w:eastAsia="zh-CN" w:bidi="ar-SA"/>
              </w:rPr>
            </w:pPr>
            <w:r>
              <w:rPr>
                <w:rFonts w:hint="eastAsia" w:ascii="宋体" w:hAnsi="宋体" w:eastAsia="宋体" w:cs="宋体"/>
                <w:sz w:val="24"/>
                <w:szCs w:val="24"/>
                <w:lang w:val="en-US" w:eastAsia="zh-CN"/>
              </w:rPr>
              <w:t>（案例分析报告+PPT）</w:t>
            </w:r>
          </w:p>
        </w:tc>
        <w:tc>
          <w:tcPr>
            <w:tcW w:w="4258" w:type="dxa"/>
            <w:vAlign w:val="top"/>
          </w:tcPr>
          <w:p>
            <w:pPr>
              <w:keepNext w:val="0"/>
              <w:keepLines w:val="0"/>
              <w:pageBreakBefore w:val="0"/>
              <w:widowControl w:val="0"/>
              <w:wordWrap/>
              <w:overflowPunct/>
              <w:topLinePunct w:val="0"/>
              <w:bidi w:val="0"/>
              <w:spacing w:line="360" w:lineRule="auto"/>
              <w:jc w:val="center"/>
              <w:rPr>
                <w:rFonts w:hint="eastAsia" w:ascii="宋体" w:hAnsi="宋体" w:eastAsia="宋体" w:cs="宋体"/>
                <w:snapToGrid w:val="0"/>
                <w:color w:val="000000"/>
                <w:kern w:val="0"/>
                <w:sz w:val="24"/>
                <w:szCs w:val="24"/>
                <w:vertAlign w:val="baseline"/>
                <w:lang w:val="en-US" w:eastAsia="zh-CN" w:bidi="ar-SA"/>
              </w:rPr>
            </w:pPr>
            <w:r>
              <w:rPr>
                <w:rFonts w:hint="eastAsia" w:ascii="宋体" w:hAnsi="宋体" w:eastAsia="宋体" w:cs="宋体"/>
                <w:sz w:val="24"/>
                <w:szCs w:val="24"/>
                <w:lang w:val="en-US" w:eastAsia="zh-CN"/>
              </w:rPr>
              <w:t>2024年9月上旬-12月2日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58" w:type="dxa"/>
          </w:tcPr>
          <w:p>
            <w:pPr>
              <w:keepNext w:val="0"/>
              <w:keepLines w:val="0"/>
              <w:pageBreakBefore w:val="0"/>
              <w:widowControl w:val="0"/>
              <w:wordWrap/>
              <w:overflowPunct/>
              <w:topLinePunct w:val="0"/>
              <w:bidi w:val="0"/>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总决赛</w:t>
            </w:r>
          </w:p>
        </w:tc>
        <w:tc>
          <w:tcPr>
            <w:tcW w:w="4258" w:type="dxa"/>
          </w:tcPr>
          <w:p>
            <w:pPr>
              <w:keepNext w:val="0"/>
              <w:keepLines w:val="0"/>
              <w:pageBreakBefore w:val="0"/>
              <w:widowControl w:val="0"/>
              <w:wordWrap/>
              <w:overflowPunct/>
              <w:topLinePunct w:val="0"/>
              <w:bidi w:val="0"/>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2024年12月2日-12月7日</w:t>
            </w:r>
          </w:p>
        </w:tc>
      </w:tr>
    </w:tbl>
    <w:p>
      <w:pPr>
        <w:keepNext w:val="0"/>
        <w:keepLines w:val="0"/>
        <w:pageBreakBefore w:val="0"/>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四、奖项设置：</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（一）分区赛奖项</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b w:val="0"/>
          <w:bCs w:val="0"/>
          <w:i w:val="0"/>
          <w:iCs w:val="0"/>
          <w:snapToGrid w:val="0"/>
          <w:color w:val="000000"/>
          <w:kern w:val="0"/>
          <w:sz w:val="24"/>
          <w:szCs w:val="24"/>
          <w:highlight w:val="none"/>
          <w:vertAlign w:val="baseline"/>
          <w:lang w:val="en-US" w:eastAsia="zh-CN" w:bidi="ar-SA"/>
        </w:rPr>
        <w:t>以实际参赛队为基数，分区赛一、二、三等奖获奖比例分别为参赛队伍总数的10%、20%及30%。获奖队伍指导老师为分区赛优秀指导教师</w:t>
      </w:r>
      <w:r>
        <w:rPr>
          <w:rFonts w:hint="eastAsia" w:ascii="宋体" w:hAnsi="宋体" w:eastAsia="宋体" w:cs="宋体"/>
          <w:sz w:val="24"/>
          <w:szCs w:val="24"/>
          <w:lang w:val="en-US" w:eastAsia="zh-CN"/>
        </w:rPr>
        <w:t>。获奖选手及教师颁发相应荣誉证书。</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（二）总决赛奖项</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1.总决赛队伍奖项</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所有队伍分组进行</w:t>
      </w:r>
      <w:r>
        <w:rPr>
          <w:rFonts w:hint="eastAsia" w:ascii="宋体" w:hAnsi="宋体" w:eastAsia="宋体" w:cs="宋体"/>
          <w:b w:val="0"/>
          <w:bCs w:val="0"/>
          <w:i w:val="0"/>
          <w:iCs w:val="0"/>
          <w:snapToGrid w:val="0"/>
          <w:color w:val="000000"/>
          <w:kern w:val="0"/>
          <w:sz w:val="24"/>
          <w:szCs w:val="24"/>
          <w:highlight w:val="none"/>
          <w:vertAlign w:val="baseline"/>
          <w:lang w:val="en-US" w:eastAsia="zh-CN" w:bidi="ar-SA"/>
        </w:rPr>
        <w:t>总决赛晋级</w:t>
      </w:r>
      <w:r>
        <w:rPr>
          <w:rFonts w:hint="eastAsia" w:ascii="宋体" w:hAnsi="宋体" w:eastAsia="宋体" w:cs="宋体"/>
          <w:sz w:val="24"/>
          <w:szCs w:val="24"/>
          <w:lang w:val="en-US" w:eastAsia="zh-CN"/>
        </w:rPr>
        <w:t>，按小组参赛队伍数的15%、30%分设一等奖与二等奖，其余队伍获三等奖。并按照奖项等级设置优秀指导教师奖。</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2.其他奖励</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（1）所有总决赛参赛队伍（指导老师及学生）均可获得“全国本科院校税收风险管控案例大赛荣誉成员”纪念章和证书。其</w:t>
      </w:r>
      <w:r>
        <w:rPr>
          <w:rFonts w:hint="eastAsia" w:ascii="宋体" w:hAnsi="宋体" w:eastAsia="宋体" w:cs="宋体"/>
          <w:b w:val="0"/>
          <w:bCs w:val="0"/>
          <w:i w:val="0"/>
          <w:iCs w:val="0"/>
          <w:snapToGrid w:val="0"/>
          <w:color w:val="000000"/>
          <w:kern w:val="0"/>
          <w:sz w:val="24"/>
          <w:szCs w:val="24"/>
          <w:highlight w:val="none"/>
          <w:vertAlign w:val="baseline"/>
          <w:lang w:val="en-US" w:eastAsia="zh-CN" w:bidi="ar-SA"/>
        </w:rPr>
        <w:t>队员可优先进入浙江省注册税务师协会会员单位事务所实习。</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（2）总决赛成绩优秀的，由浙江省注册税务师协会组织的相关税务师事务所发放《免试入职通知书》，具体规则及税务师事务所名单另行公布。</w:t>
      </w:r>
    </w:p>
    <w:p>
      <w:pPr>
        <w:keepNext w:val="0"/>
        <w:keepLines w:val="0"/>
        <w:pageBreakBefore w:val="0"/>
        <w:wordWrap/>
        <w:overflowPunct/>
        <w:topLinePunct w:val="0"/>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五、其他事项：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1.该竞赛的校内选拔活动由</w:t>
      </w:r>
      <w:r>
        <w:rPr>
          <w:rFonts w:hint="eastAsia" w:ascii="宋体" w:hAnsi="宋体" w:eastAsia="宋体" w:cs="宋体"/>
          <w:sz w:val="24"/>
          <w:szCs w:val="24"/>
          <w:lang w:val="en-US" w:eastAsia="zh-CN"/>
        </w:rPr>
        <w:t>经济与金融学院</w:t>
      </w:r>
      <w:r>
        <w:rPr>
          <w:rFonts w:hint="eastAsia" w:ascii="宋体" w:hAnsi="宋体" w:eastAsia="宋体" w:cs="宋体"/>
          <w:sz w:val="24"/>
          <w:szCs w:val="24"/>
        </w:rPr>
        <w:t>承办</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校内选拔赛预计2024年9月上旬在常州校区举办，校内选拔赛结束后再进行系统报名和区域赛的参赛作品的线上系统提交。</w:t>
      </w:r>
      <w:r>
        <w:rPr>
          <w:rFonts w:hint="eastAsia" w:ascii="宋体" w:hAnsi="宋体" w:eastAsia="宋体" w:cs="宋体"/>
          <w:sz w:val="24"/>
          <w:szCs w:val="24"/>
        </w:rPr>
        <w:t>报名同学请加入QQ群：</w:t>
      </w:r>
      <w:r>
        <w:rPr>
          <w:rFonts w:ascii="宋体" w:hAnsi="宋体" w:eastAsia="宋体" w:cs="宋体"/>
          <w:sz w:val="24"/>
          <w:szCs w:val="24"/>
        </w:rPr>
        <w:t>2024年全国本科院校税收风险管控案例大赛-河海大学选拔赛</w:t>
      </w:r>
      <w:r>
        <w:rPr>
          <w:rFonts w:hint="eastAsia" w:ascii="宋体" w:hAnsi="宋体" w:eastAsia="宋体" w:cs="宋体"/>
          <w:sz w:val="24"/>
          <w:szCs w:val="24"/>
        </w:rPr>
        <w:t>（群号：</w:t>
      </w:r>
      <w:r>
        <w:rPr>
          <w:rFonts w:hint="eastAsia" w:ascii="宋体" w:hAnsi="宋体" w:eastAsia="宋体" w:cs="宋体"/>
          <w:sz w:val="24"/>
          <w:szCs w:val="24"/>
          <w:lang w:val="en-US" w:eastAsia="zh-CN"/>
        </w:rPr>
        <w:t>927021564</w:t>
      </w:r>
      <w:r>
        <w:rPr>
          <w:rFonts w:hint="eastAsia" w:ascii="宋体" w:hAnsi="宋体" w:eastAsia="宋体" w:cs="宋体"/>
          <w:sz w:val="24"/>
          <w:szCs w:val="24"/>
        </w:rPr>
        <w:t>），入群附加信息：学院+年级+专业+姓名。</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drawing>
          <wp:inline distT="0" distB="0" distL="114300" distR="114300">
            <wp:extent cx="2501900" cy="2444750"/>
            <wp:effectExtent l="0" t="0" r="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501900" cy="24447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2.联系人：</w:t>
      </w:r>
      <w:r>
        <w:rPr>
          <w:rFonts w:hint="eastAsia" w:ascii="宋体" w:hAnsi="宋体" w:eastAsia="宋体" w:cs="宋体"/>
          <w:sz w:val="24"/>
          <w:szCs w:val="24"/>
          <w:lang w:val="en-US" w:eastAsia="zh-CN"/>
        </w:rPr>
        <w:t>亓老师</w:t>
      </w:r>
      <w:r>
        <w:rPr>
          <w:rFonts w:hint="eastAsia" w:ascii="宋体" w:hAnsi="宋体" w:eastAsia="宋体" w:cs="宋体"/>
          <w:sz w:val="24"/>
          <w:szCs w:val="24"/>
        </w:rPr>
        <w:t>，联系电话：0519-851919</w:t>
      </w:r>
      <w:r>
        <w:rPr>
          <w:rFonts w:hint="eastAsia" w:ascii="宋体" w:hAnsi="宋体" w:eastAsia="宋体" w:cs="宋体"/>
          <w:sz w:val="24"/>
          <w:szCs w:val="24"/>
          <w:lang w:val="en-US" w:eastAsia="zh-CN"/>
        </w:rPr>
        <w:t>21</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参赛</w:t>
      </w:r>
      <w:r>
        <w:rPr>
          <w:rFonts w:hint="eastAsia" w:ascii="宋体" w:hAnsi="宋体" w:eastAsia="宋体" w:cs="宋体"/>
          <w:sz w:val="24"/>
          <w:szCs w:val="24"/>
        </w:rPr>
        <w:t>作品提交要求等其他相关事宜详见</w:t>
      </w:r>
      <w:r>
        <w:rPr>
          <w:rFonts w:hint="eastAsia" w:ascii="宋体" w:hAnsi="宋体" w:cs="宋体"/>
          <w:sz w:val="24"/>
          <w:szCs w:val="24"/>
          <w:lang w:val="en-US" w:eastAsia="zh-CN"/>
        </w:rPr>
        <w:t>大赛官网：</w:t>
      </w:r>
      <w:r>
        <w:rPr>
          <w:rFonts w:hint="eastAsia" w:ascii="宋体" w:hAnsi="宋体" w:eastAsia="宋体" w:cs="宋体"/>
          <w:sz w:val="24"/>
          <w:szCs w:val="24"/>
          <w:lang w:val="en-US" w:eastAsia="zh-CN"/>
        </w:rPr>
        <w:t>http://ssfkds.moocollege.com/</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大赛官方微信公众号：</w:t>
      </w:r>
      <w:bookmarkStart w:id="0" w:name="OLE_LINK6"/>
      <w:r>
        <w:rPr>
          <w:rFonts w:hint="eastAsia" w:ascii="宋体" w:hAnsi="宋体" w:eastAsia="宋体" w:cs="宋体"/>
          <w:sz w:val="24"/>
          <w:szCs w:val="24"/>
          <w:lang w:val="en-US" w:eastAsia="zh-CN"/>
        </w:rPr>
        <w:t>全国本科院校税收风险管控案例大赛官方公众号</w:t>
      </w:r>
    </w:p>
    <w:bookmarkEnd w:id="0"/>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5.推荐备赛资料;《</w:t>
      </w:r>
      <w:bookmarkStart w:id="1" w:name="OLE_LINK2"/>
      <w:r>
        <w:rPr>
          <w:rFonts w:hint="eastAsia" w:ascii="宋体" w:hAnsi="宋体" w:eastAsia="宋体" w:cs="宋体"/>
          <w:sz w:val="24"/>
          <w:szCs w:val="24"/>
          <w:lang w:val="en-US" w:eastAsia="zh-CN"/>
        </w:rPr>
        <w:t>全国本科院校税收风险管控案例大赛</w:t>
      </w:r>
      <w:bookmarkEnd w:id="1"/>
      <w:r>
        <w:rPr>
          <w:rFonts w:hint="eastAsia" w:ascii="宋体" w:hAnsi="宋体" w:eastAsia="宋体" w:cs="宋体"/>
          <w:sz w:val="24"/>
          <w:szCs w:val="24"/>
          <w:lang w:val="en-US" w:eastAsia="zh-CN"/>
        </w:rPr>
        <w:t>精选案例与点评》由全国本科院校税收风险管控案例大赛组委会等组织编撰，中国财政经济出版社</w:t>
      </w:r>
      <w:bookmarkStart w:id="2" w:name="_GoBack"/>
      <w:bookmarkEnd w:id="2"/>
      <w:r>
        <w:rPr>
          <w:rFonts w:hint="eastAsia" w:ascii="宋体" w:hAnsi="宋体" w:eastAsia="宋体" w:cs="宋体"/>
          <w:sz w:val="24"/>
          <w:szCs w:val="24"/>
          <w:lang w:val="en-US" w:eastAsia="zh-CN"/>
        </w:rPr>
        <w:t>将于2024 年7月出版发行。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"https://my.hhu.edu.cn/resources/portal/kingeditorImage/1717754840761_af8af0eb-52e7-49e9-81e6-50fe25ade66c.docx" \t "https://my.hhu.edu.cn/portal-web/html/index.html?cloumnId=1011" \l "/_blank" </w:instrText>
      </w:r>
      <w:r>
        <w:rPr>
          <w:rFonts w:hint="eastAsia" w:ascii="宋体" w:hAnsi="宋体" w:eastAsia="宋体" w:cs="宋体"/>
          <w:sz w:val="24"/>
          <w:szCs w:val="24"/>
        </w:rPr>
        <w:fldChar w:fldCharType="separate"/>
      </w:r>
      <w:r>
        <w:rPr>
          <w:rFonts w:hint="eastAsia" w:ascii="宋体" w:hAnsi="宋体" w:eastAsia="宋体" w:cs="宋体"/>
          <w:sz w:val="24"/>
          <w:szCs w:val="24"/>
        </w:rPr>
        <w:t>附件1：</w:t>
      </w:r>
      <w:r>
        <w:rPr>
          <w:rFonts w:hint="eastAsia" w:ascii="宋体" w:hAnsi="宋体" w:eastAsia="宋体" w:cs="宋体"/>
          <w:sz w:val="24"/>
          <w:szCs w:val="24"/>
        </w:rPr>
        <w:fldChar w:fldCharType="end"/>
      </w:r>
      <w:r>
        <w:rPr>
          <w:rFonts w:hint="eastAsia" w:ascii="宋体" w:hAnsi="宋体" w:eastAsia="宋体" w:cs="宋体"/>
          <w:sz w:val="24"/>
          <w:szCs w:val="24"/>
        </w:rPr>
        <w:t>大赛案例编写规范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"https://my.hhu.edu.cn/resources/portal/kingeditorImage/1717754866480_4e11c54d-160f-4e48-8c31-18f2d4bbff37.docx" \t "https://my.hhu.edu.cn/portal-web/html/index.html?cloumnId=1011" \l "/_blank" </w:instrText>
      </w:r>
      <w:r>
        <w:rPr>
          <w:rFonts w:hint="eastAsia" w:ascii="宋体" w:hAnsi="宋体" w:eastAsia="宋体" w:cs="宋体"/>
          <w:sz w:val="24"/>
          <w:szCs w:val="24"/>
        </w:rPr>
        <w:fldChar w:fldCharType="separate"/>
      </w:r>
      <w:r>
        <w:rPr>
          <w:rFonts w:hint="eastAsia" w:ascii="宋体" w:hAnsi="宋体" w:eastAsia="宋体" w:cs="宋体"/>
          <w:sz w:val="24"/>
          <w:szCs w:val="24"/>
        </w:rPr>
        <w:t>附件2：全国本科院校税收风险管控案例大赛总决赛参赛确认函</w:t>
      </w:r>
      <w:r>
        <w:rPr>
          <w:rFonts w:hint="eastAsia" w:ascii="宋体" w:hAnsi="宋体" w:eastAsia="宋体" w:cs="宋体"/>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"https://my.hhu.edu.cn/resources/portal/kingeditorImage/1717754886009_adcd85a7-4108-44cc-9f28-4d44708ffa8c.doc" \t "https://my.hhu.edu.cn/portal-web/html/index.html?cloumnId=1011" \l "/_blank" </w:instrText>
      </w:r>
      <w:r>
        <w:rPr>
          <w:rFonts w:hint="eastAsia" w:ascii="宋体" w:hAnsi="宋体" w:eastAsia="宋体" w:cs="宋体"/>
          <w:sz w:val="24"/>
          <w:szCs w:val="24"/>
        </w:rPr>
        <w:fldChar w:fldCharType="separate"/>
      </w:r>
      <w:r>
        <w:rPr>
          <w:rFonts w:hint="eastAsia" w:ascii="宋体" w:hAnsi="宋体" w:eastAsia="宋体" w:cs="宋体"/>
          <w:sz w:val="24"/>
          <w:szCs w:val="24"/>
        </w:rPr>
        <w:t>附件3：竞赛案例原创性承诺函</w:t>
      </w:r>
      <w:r>
        <w:rPr>
          <w:rFonts w:hint="eastAsia" w:ascii="宋体" w:hAnsi="宋体" w:eastAsia="宋体" w:cs="宋体"/>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"https://my.hhu.edu.cn/resources/portal/kingeditorImage/1717754907835_6be3a479-0f70-49be-b397-27254ff95c41.rar" \t "https://my.hhu.edu.cn/portal-web/html/index.html?cloumnId=1011" \l "/_blank" </w:instrText>
      </w:r>
      <w:r>
        <w:rPr>
          <w:rFonts w:hint="eastAsia" w:ascii="宋体" w:hAnsi="宋体" w:eastAsia="宋体" w:cs="宋体"/>
          <w:sz w:val="24"/>
          <w:szCs w:val="24"/>
        </w:rPr>
        <w:fldChar w:fldCharType="separate"/>
      </w:r>
      <w:r>
        <w:rPr>
          <w:rFonts w:hint="eastAsia" w:ascii="宋体" w:hAnsi="宋体" w:eastAsia="宋体" w:cs="宋体"/>
          <w:sz w:val="24"/>
          <w:szCs w:val="24"/>
        </w:rPr>
        <w:t>附件4：2024 年全国本科院校税收风险管控案例大赛规程及附件</w:t>
      </w:r>
      <w:r>
        <w:rPr>
          <w:rFonts w:hint="eastAsia" w:ascii="宋体" w:hAnsi="宋体" w:eastAsia="宋体" w:cs="宋体"/>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附件5：2024年全国本科院校纳税风险管控案例大赛赛区报名参赛指南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w:t>
      </w:r>
      <w:r>
        <w:rPr>
          <w:rFonts w:hint="eastAsia" w:ascii="宋体" w:hAnsi="宋体" w:eastAsia="宋体" w:cs="宋体"/>
          <w:sz w:val="24"/>
          <w:szCs w:val="24"/>
          <w:lang w:val="en-US" w:eastAsia="zh-CN"/>
        </w:rPr>
        <w:t>创新创业学院、经济与金融学院</w:t>
      </w:r>
    </w:p>
    <w:p>
      <w:pPr>
        <w:keepNext w:val="0"/>
        <w:keepLines w:val="0"/>
        <w:pageBreakBefore w:val="0"/>
        <w:widowControl w:val="0"/>
        <w:kinsoku/>
        <w:wordWrap/>
        <w:overflowPunct/>
        <w:topLinePunct w:val="0"/>
        <w:autoSpaceDE/>
        <w:autoSpaceDN/>
        <w:bidi w:val="0"/>
        <w:adjustRightInd/>
        <w:snapToGrid/>
        <w:spacing w:line="360" w:lineRule="auto"/>
        <w:ind w:firstLine="5520" w:firstLineChars="23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2024年6月2</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日</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lang w:val="en-US" w:eastAsia="zh-CN"/>
        </w:rPr>
      </w:pPr>
    </w:p>
    <w:sectPr>
      <w:pgSz w:w="11900" w:h="1682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TgyY2Y5Y2UxZjkwY2NiYzg1MTM4ZmQzOTFhYWJhY2IifQ=="/>
  </w:docVars>
  <w:rsids>
    <w:rsidRoot w:val="00000000"/>
    <w:rsid w:val="03BB4124"/>
    <w:rsid w:val="03E01AA2"/>
    <w:rsid w:val="0629525C"/>
    <w:rsid w:val="07961047"/>
    <w:rsid w:val="1F1B3F0E"/>
    <w:rsid w:val="21E56F4D"/>
    <w:rsid w:val="23F52C20"/>
    <w:rsid w:val="298A5BB9"/>
    <w:rsid w:val="48274565"/>
    <w:rsid w:val="582A3071"/>
    <w:rsid w:val="678F1E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2">
    <w:name w:val="Body Text"/>
    <w:basedOn w:val="1"/>
    <w:qFormat/>
    <w:uiPriority w:val="0"/>
    <w:rPr>
      <w:rFonts w:ascii="仿宋" w:hAnsi="仿宋" w:eastAsia="仿宋" w:cs="仿宋"/>
      <w:sz w:val="48"/>
      <w:szCs w:val="48"/>
      <w:lang w:val="en-US" w:eastAsia="en-US" w:bidi="ar-SA"/>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1461</Words>
  <Characters>1662</Characters>
  <Paragraphs>62</Paragraphs>
  <TotalTime>4</TotalTime>
  <ScaleCrop>false</ScaleCrop>
  <LinksUpToDate>false</LinksUpToDate>
  <CharactersWithSpaces>1671</CharactersWithSpaces>
  <Application>WPS Office_12.1.0.15990_F1E327BC-269C-435d-A152-05C5408002CA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2024-06-12T22:34:00Z</dcterms:created>
  <dc:creator>zkh07</dc:creator>
  <cp:lastModifiedBy>郑鸿斌</cp:lastModifiedBy>
  <dcterms:modified xsi:type="dcterms:W3CDTF">2024-06-22T11:57:49Z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2024-06-12T22:34:45Z</vt:filetime>
  </property>
  <property fmtid="{D5CDD505-2E9C-101B-9397-08002B2CF9AE}" pid="4" name="UsrData">
    <vt:lpwstr>6669b201129c5b001f9f2eadwl</vt:lpwstr>
  </property>
  <property fmtid="{D5CDD505-2E9C-101B-9397-08002B2CF9AE}" pid="5" name="KSOProductBuildVer">
    <vt:lpwstr>2052-12.1.0.15990</vt:lpwstr>
  </property>
  <property fmtid="{D5CDD505-2E9C-101B-9397-08002B2CF9AE}" pid="6" name="ICV">
    <vt:lpwstr>EC6CAF18EB4046558427F4D674A1287A_13</vt:lpwstr>
  </property>
</Properties>
</file>